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A106">
      <w:pPr>
        <w:widowControl/>
        <w:jc w:val="left"/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  <w:t>附件二：会议暂定议题</w:t>
      </w:r>
    </w:p>
    <w:p w14:paraId="74ACE66E">
      <w:pPr>
        <w:spacing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开幕式及主论坛</w:t>
      </w:r>
    </w:p>
    <w:p w14:paraId="3F4BB1C6">
      <w:pPr>
        <w:spacing w:line="540" w:lineRule="exact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1、嘉宾致辞</w:t>
      </w:r>
    </w:p>
    <w:p w14:paraId="55EFD923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主办方及联合会领导致辞</w:t>
      </w:r>
    </w:p>
    <w:p w14:paraId="6D69F63E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国际相关行业组织代表致辞</w:t>
      </w:r>
    </w:p>
    <w:p w14:paraId="1518A342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大会主要赞助单位代表致辞</w:t>
      </w:r>
    </w:p>
    <w:p w14:paraId="6D3BE2D5">
      <w:pPr>
        <w:spacing w:line="540" w:lineRule="exact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2、主旨报告</w:t>
      </w:r>
    </w:p>
    <w:p w14:paraId="2D79E6A3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院士作前沿技术报告</w:t>
      </w:r>
    </w:p>
    <w:p w14:paraId="3891CC5D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国家产业主管部门及行业协会专家解读政策</w:t>
      </w:r>
    </w:p>
    <w:p w14:paraId="4C59DAC2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全球龙头企业负责人分享产业实践</w:t>
      </w:r>
    </w:p>
    <w:p w14:paraId="2E2A2F8D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著名经济专家分析宏观形势与市场前景</w:t>
      </w:r>
    </w:p>
    <w:p w14:paraId="236EFD5B">
      <w:pPr>
        <w:spacing w:line="540" w:lineRule="exact"/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3、嘉宾巡展</w:t>
      </w:r>
    </w:p>
    <w:p w14:paraId="55A42140">
      <w:pPr>
        <w:spacing w:line="540" w:lineRule="exact"/>
        <w:ind w:firstLine="280" w:firstLineChars="100"/>
        <w:jc w:val="left"/>
        <w:rPr>
          <w:rFonts w:hint="eastAsia" w:ascii="仿宋_GB2312" w:hAnsi="华文楷体" w:eastAsia="仿宋_GB2312"/>
          <w:sz w:val="28"/>
          <w:szCs w:val="28"/>
          <w14:ligatures w14:val="standardContextual"/>
        </w:rPr>
      </w:pPr>
      <w:r>
        <w:rPr>
          <w:rFonts w:hint="eastAsia" w:ascii="仿宋_GB2312" w:hAnsi="华文楷体" w:eastAsia="仿宋_GB2312"/>
          <w:sz w:val="28"/>
          <w:szCs w:val="28"/>
        </w:rPr>
        <w:t>领导、院士及与会嘉宾巡视展区</w:t>
      </w:r>
    </w:p>
    <w:p w14:paraId="1C30A3C6">
      <w:pPr>
        <w:spacing w:line="400" w:lineRule="exac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主题一、绿色能源催化</w:t>
      </w:r>
    </w:p>
    <w:p w14:paraId="212678A0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绿色氢能（制氢/储氢/用氢）全链条催化</w:t>
      </w:r>
    </w:p>
    <w:p w14:paraId="6F0478B4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电解水制氢催化剂的活性与稳定性提升策略</w:t>
      </w:r>
    </w:p>
    <w:p w14:paraId="33743472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燃料电池阴极氧还原反应（ORR）催化剂的最新进展</w:t>
      </w:r>
    </w:p>
    <w:p w14:paraId="4B6FE726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光催化分解水与 CO</w:t>
      </w:r>
      <w:r>
        <w:rPr>
          <w:rFonts w:ascii="Cambria Math" w:hAnsi="Cambria Math" w:eastAsia="仿宋_GB2312" w:cs="Cambria Math"/>
          <w:sz w:val="28"/>
          <w:szCs w:val="28"/>
        </w:rPr>
        <w:t>₂</w:t>
      </w:r>
      <w:r>
        <w:rPr>
          <w:rFonts w:ascii="仿宋_GB2312" w:hAnsi="仿宋_GB2312" w:eastAsia="仿宋_GB2312" w:cs="仿宋_GB2312"/>
          <w:sz w:val="28"/>
          <w:szCs w:val="28"/>
        </w:rPr>
        <w:t xml:space="preserve"> 还原的协同机制</w:t>
      </w:r>
    </w:p>
    <w:p w14:paraId="37A25C36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CO</w:t>
      </w:r>
      <w:r>
        <w:rPr>
          <w:rFonts w:ascii="Cambria Math" w:hAnsi="Cambria Math" w:eastAsia="仿宋_GB2312" w:cs="Cambria Math"/>
          <w:sz w:val="28"/>
          <w:szCs w:val="28"/>
        </w:rPr>
        <w:t>₂</w:t>
      </w:r>
      <w:r>
        <w:rPr>
          <w:rFonts w:ascii="仿宋_GB2312" w:hAnsi="仿宋_GB2312" w:eastAsia="仿宋_GB2312" w:cs="仿宋_GB2312"/>
          <w:sz w:val="28"/>
          <w:szCs w:val="28"/>
        </w:rPr>
        <w:t>电解规模化中的催化工程挑战</w:t>
      </w:r>
    </w:p>
    <w:p w14:paraId="61253E0C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光电催化体系中的界面工程与载流子调控</w:t>
      </w:r>
    </w:p>
    <w:p w14:paraId="22D4F4CA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高效析氧反应（OER）催化剂的结构设计</w:t>
      </w:r>
    </w:p>
    <w:p w14:paraId="0B6A750F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绿色氢能储运中的催化技术瓶颈与突破</w:t>
      </w:r>
    </w:p>
    <w:p w14:paraId="3891621C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太阳能制氢的“效率-稳定性”矛盾：光催化全分解水的现实路径</w:t>
      </w:r>
    </w:p>
    <w:p w14:paraId="1CD852E3">
      <w:pPr>
        <w:spacing w:line="400" w:lineRule="exac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主题二、 石油化工与精细化工催化</w:t>
      </w:r>
    </w:p>
    <w:p w14:paraId="1592E5A7">
      <w:pPr>
        <w:pStyle w:val="4"/>
        <w:spacing w:before="156" w:beforeLines="50" w:after="156" w:afterLines="50" w:line="4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重油加氢改质催化剂的工程化应用</w:t>
      </w:r>
    </w:p>
    <w:p w14:paraId="7D2A372B">
      <w:pPr>
        <w:pStyle w:val="4"/>
        <w:spacing w:before="156" w:beforeLines="50" w:after="156" w:afterLines="50" w:line="4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催化裂化催化剂的抗重金属中毒策略</w:t>
      </w:r>
    </w:p>
    <w:p w14:paraId="71CF3B0A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芳烃与烯烃转化的新型催化材料</w:t>
      </w:r>
    </w:p>
    <w:p w14:paraId="3457C40D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医药中间体绿色合成的催化工艺</w:t>
      </w:r>
    </w:p>
    <w:p w14:paraId="3DF5F58F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低碳烯烃（乙烯、丙烯）增产的催化技术</w:t>
      </w:r>
    </w:p>
    <w:p w14:paraId="7FE8EF21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催化剂在碳捕集与利用（CCUS）中的角色</w:t>
      </w:r>
    </w:p>
    <w:p w14:paraId="100D8EB7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“双碳”目标下石化催化剂的绿色替代：非贵金属加氢催化剂进展</w:t>
      </w:r>
    </w:p>
    <w:p w14:paraId="3B31D5EC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C-H键活化催化的工业化挑战：选择性、效率与成本平衡</w:t>
      </w:r>
    </w:p>
    <w:p w14:paraId="197E08F4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分子筛限域催化在精细化学品合成中的新机遇：尺寸选择性与扩散调控</w:t>
      </w:r>
    </w:p>
    <w:p w14:paraId="5290E5B4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酶催化在石化中的应用：当生物制造遇见传统催化</w:t>
      </w:r>
    </w:p>
    <w:p w14:paraId="35CAC860">
      <w:pPr>
        <w:spacing w:line="400" w:lineRule="exac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主题三、催化新材料与表征技术</w:t>
      </w:r>
    </w:p>
    <w:p w14:paraId="7EE62A28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单原子催化剂的规模化制备与应用</w:t>
      </w:r>
    </w:p>
    <w:p w14:paraId="259C5F27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金属有机框架（MOFs）在催化中的新进展</w:t>
      </w:r>
    </w:p>
    <w:p w14:paraId="10479542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介孔/微孔复合载体的设计与催化性能</w:t>
      </w:r>
    </w:p>
    <w:p w14:paraId="19C6C23F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原位 XRD、TEM、Raman 在催化反应机理研究中的应用</w:t>
      </w:r>
    </w:p>
    <w:p w14:paraId="79169FDC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DFT 计算指导的催化剂结构优化</w:t>
      </w:r>
    </w:p>
    <w:p w14:paraId="620E970D">
      <w:pPr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440" w:bottom="1440" w:left="1440" w:header="851" w:footer="369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催化剂的动态重构与活性位点识别</w:t>
      </w:r>
    </w:p>
    <w:p w14:paraId="006277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B16"/>
    <w:rsid w:val="648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2025-12-18T06:36:00Z</dcterms:created>
  <dc:creator>老番薯</dc:creator>
  <cp:lastModifiedBy>老番薯</cp:lastModifiedBy>
  <dcterms:modified xsi:type="dcterms:W3CDTF">2025-12-18T06:37:17Z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908CFF92DCAD417FA659B40C09F7C6A8_11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